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FD50BC" w14:paraId="28307382" w14:textId="77777777" w:rsidTr="007E1D85">
        <w:tc>
          <w:tcPr>
            <w:tcW w:w="5211" w:type="dxa"/>
            <w:hideMark/>
          </w:tcPr>
          <w:p w14:paraId="7B4A831B" w14:textId="77777777" w:rsidR="007E1D85" w:rsidRPr="007B29C6" w:rsidRDefault="007E1D85" w:rsidP="007B29C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4949140" w14:textId="77777777" w:rsidR="00523D82" w:rsidRPr="00FD50BC" w:rsidRDefault="00523D82" w:rsidP="007B29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2953A91" w14:textId="77777777" w:rsidR="00653617" w:rsidRPr="00FD50BC" w:rsidRDefault="00523D82" w:rsidP="007B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31F478F6" w14:textId="77777777" w:rsidR="00523D82" w:rsidRPr="00FD50BC" w:rsidRDefault="007E702A" w:rsidP="007B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89605A"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0AD13643" w14:textId="77777777" w:rsidR="00523D82" w:rsidRPr="00FD50BC" w:rsidRDefault="00523D82" w:rsidP="007B29C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FD50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FD50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171B57FF" w14:textId="77777777" w:rsidR="00523D82" w:rsidRPr="00FD50BC" w:rsidRDefault="00523D82" w:rsidP="007B29C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89605A" w:rsidRPr="00FD50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0F0B9932" w14:textId="4B95D130" w:rsidR="00523D82" w:rsidRPr="00FD50BC" w:rsidRDefault="00523D82" w:rsidP="007B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941C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41C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941C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05   2023 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4B00D88C" w14:textId="08BAC472" w:rsidR="00523D82" w:rsidRPr="00941CB7" w:rsidRDefault="00523D82" w:rsidP="007B29C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FD50B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№ </w:t>
            </w:r>
            <w:r w:rsidR="00941C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N062943</w:t>
            </w:r>
          </w:p>
        </w:tc>
        <w:tc>
          <w:tcPr>
            <w:tcW w:w="4536" w:type="dxa"/>
          </w:tcPr>
          <w:p w14:paraId="7A805456" w14:textId="77777777" w:rsidR="00523D82" w:rsidRPr="00FD50BC" w:rsidRDefault="00D46B0B" w:rsidP="007B29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62F1" w:rsidRPr="00FD50BC" w14:paraId="628B87C7" w14:textId="77777777" w:rsidTr="003662F1">
        <w:trPr>
          <w:trHeight w:val="80"/>
        </w:trPr>
        <w:tc>
          <w:tcPr>
            <w:tcW w:w="14283" w:type="dxa"/>
            <w:gridSpan w:val="3"/>
          </w:tcPr>
          <w:p w14:paraId="65CC1D43" w14:textId="77777777" w:rsidR="003662F1" w:rsidRPr="00FD50BC" w:rsidRDefault="003662F1" w:rsidP="007B29C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1DE4C179" w14:textId="77777777" w:rsidR="00D76048" w:rsidRPr="00FD50BC" w:rsidRDefault="00D76048" w:rsidP="007B29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6BDF132D" w14:textId="77777777" w:rsidR="00D76048" w:rsidRPr="00FD50BC" w:rsidRDefault="00D76048" w:rsidP="007B29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67EF857B" w14:textId="77777777" w:rsidR="002C76D7" w:rsidRPr="00FD50BC" w:rsidRDefault="002C76D7" w:rsidP="007B29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E09B52" w14:textId="77777777" w:rsidR="009A1F67" w:rsidRPr="00FD50BC" w:rsidRDefault="009A1F67" w:rsidP="007B29C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0BC">
        <w:rPr>
          <w:rFonts w:ascii="Times New Roman" w:eastAsia="Times New Roman" w:hAnsi="Times New Roman"/>
          <w:sz w:val="24"/>
          <w:szCs w:val="24"/>
          <w:lang w:eastAsia="ru-RU"/>
        </w:rPr>
        <w:t>▼Лекарственный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45B3783F" w14:textId="77777777" w:rsidR="009A1F67" w:rsidRPr="00FD50BC" w:rsidRDefault="009A1F6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18F29D" w14:textId="77777777" w:rsidR="002C76D7" w:rsidRPr="00FD50BC" w:rsidRDefault="00D76048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5202FD4" w14:textId="77777777" w:rsidR="00A964BF" w:rsidRPr="00FD50BC" w:rsidRDefault="00A964BF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E2251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бети</w:t>
      </w: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мус</w:t>
      </w:r>
      <w:proofErr w:type="spellEnd"/>
    </w:p>
    <w:p w14:paraId="3ED793BC" w14:textId="77777777" w:rsidR="002C76D7" w:rsidRPr="00FD50BC" w:rsidRDefault="002C76D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4B6438" w14:textId="77777777" w:rsidR="002C76D7" w:rsidRPr="00FD50BC" w:rsidRDefault="00AE7922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3A5098C7" w14:textId="77777777" w:rsidR="00A964BF" w:rsidRPr="00FD50BC" w:rsidRDefault="00A964BF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</w:t>
      </w:r>
    </w:p>
    <w:p w14:paraId="4101DB71" w14:textId="77777777" w:rsidR="002C76D7" w:rsidRPr="00FD50BC" w:rsidRDefault="002C76D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4C4D06" w14:textId="77777777" w:rsidR="00D76048" w:rsidRPr="00FD50BC" w:rsidRDefault="002C76D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2D33CA41" w14:textId="77777777" w:rsidR="00A964BF" w:rsidRPr="00FD50BC" w:rsidRDefault="00A964BF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Таблетки, покрытые пленочной оболочкой</w:t>
      </w:r>
      <w:r w:rsidR="00E2251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, 5 мг и 10 мг</w:t>
      </w:r>
    </w:p>
    <w:p w14:paraId="36E2E8D2" w14:textId="77777777" w:rsidR="00B01011" w:rsidRPr="00FD50BC" w:rsidRDefault="00B01011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0A8586" w14:textId="77777777" w:rsidR="002C1660" w:rsidRPr="00FD50BC" w:rsidRDefault="00AE7922" w:rsidP="007B2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FD50B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FD50B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FD50B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40B1393A" w14:textId="77777777" w:rsidR="00E22516" w:rsidRPr="00FD50BC" w:rsidRDefault="00E22516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Пищеварительный тракт и обмен веществ. Препараты для лечения заболеваний печени и желчевыводящих путей. Препараты для лечения заболеваний желчевыводящих путей. Желчные кислоты и производные. </w:t>
      </w:r>
      <w:proofErr w:type="spellStart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кислота.</w:t>
      </w:r>
    </w:p>
    <w:p w14:paraId="69ED2DD9" w14:textId="77777777" w:rsidR="007B29C6" w:rsidRPr="00FD50BC" w:rsidRDefault="006733D5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Код ATХ </w:t>
      </w:r>
      <w:r w:rsidR="00C651D1" w:rsidRPr="00FD50BC">
        <w:rPr>
          <w:rFonts w:ascii="Times New Roman" w:eastAsia="TimesNewRomanPSMT" w:hAnsi="Times New Roman"/>
          <w:sz w:val="28"/>
          <w:szCs w:val="28"/>
          <w:lang w:eastAsia="ru-RU"/>
        </w:rPr>
        <w:t>A05AA04</w:t>
      </w:r>
    </w:p>
    <w:p w14:paraId="4B04DE7C" w14:textId="77777777" w:rsidR="007B29C6" w:rsidRPr="00FD50BC" w:rsidRDefault="007B29C6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14:paraId="14D8102B" w14:textId="77777777" w:rsidR="002C76D7" w:rsidRPr="00FD50BC" w:rsidRDefault="005444B2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FD50B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FF10249" w14:textId="77777777" w:rsidR="00844CE8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Обетимус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показан для лечения первичного </w:t>
      </w:r>
      <w:proofErr w:type="spellStart"/>
      <w:r w:rsidRPr="00FD50BC">
        <w:rPr>
          <w:rFonts w:ascii="Times New Roman" w:hAnsi="Times New Roman"/>
          <w:sz w:val="28"/>
          <w:szCs w:val="28"/>
        </w:rPr>
        <w:t>билиарного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холангита (ПБХ) (также известного как первичный </w:t>
      </w:r>
      <w:proofErr w:type="spellStart"/>
      <w:r w:rsidRPr="00FD50BC">
        <w:rPr>
          <w:rFonts w:ascii="Times New Roman" w:hAnsi="Times New Roman"/>
          <w:sz w:val="28"/>
          <w:szCs w:val="28"/>
        </w:rPr>
        <w:t>билиарный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цирроз) в комбинации с </w:t>
      </w:r>
      <w:proofErr w:type="spellStart"/>
      <w:r w:rsidRPr="00FD50BC">
        <w:rPr>
          <w:rFonts w:ascii="Times New Roman" w:hAnsi="Times New Roman"/>
          <w:sz w:val="28"/>
          <w:szCs w:val="28"/>
        </w:rPr>
        <w:t>урсодезоксихолевой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кислотой (УДХК) у взрослых в случае, если ее применение в качестве </w:t>
      </w:r>
      <w:proofErr w:type="spellStart"/>
      <w:r w:rsidRPr="00FD50BC">
        <w:rPr>
          <w:rFonts w:ascii="Times New Roman" w:hAnsi="Times New Roman"/>
          <w:sz w:val="28"/>
          <w:szCs w:val="28"/>
        </w:rPr>
        <w:t>моно</w:t>
      </w:r>
      <w:r w:rsidR="007B29C6" w:rsidRPr="00FD50BC">
        <w:rPr>
          <w:rFonts w:ascii="Times New Roman" w:hAnsi="Times New Roman"/>
          <w:sz w:val="28"/>
          <w:szCs w:val="28"/>
        </w:rPr>
        <w:t>терапии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не дает положительного результата, или в качестве </w:t>
      </w:r>
      <w:proofErr w:type="spellStart"/>
      <w:r w:rsidRPr="00FD50BC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у взрослых, не переносящих терапию с использованием УДХК.</w:t>
      </w:r>
    </w:p>
    <w:p w14:paraId="1BF17AFF" w14:textId="77777777" w:rsidR="007B29C6" w:rsidRPr="00FD50BC" w:rsidRDefault="007B29C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83F43" w14:textId="77777777" w:rsidR="00DB406A" w:rsidRPr="00FD50BC" w:rsidRDefault="00DB406A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496FB0C6" w14:textId="77777777" w:rsidR="007D0E84" w:rsidRPr="00FD50BC" w:rsidRDefault="007D0E84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5CDD880D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lastRenderedPageBreak/>
        <w:t>- гиперчувствительность к действующему веществу, входящему в состав препарата или к любому из вспомогательных веществ, перечисленных в разделе «Состав»</w:t>
      </w:r>
    </w:p>
    <w:p w14:paraId="39B938AF" w14:textId="77777777" w:rsidR="00FE49B9" w:rsidRPr="00FD50BC" w:rsidRDefault="00FE49B9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- пациенты с декомпенсированным циррозом печени (например, класс B или C по шкале Чайлд-Пью) или с декомпенсацией в анамнезе</w:t>
      </w:r>
    </w:p>
    <w:p w14:paraId="11C062E0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- полная непроходимость желчевыводящих путей</w:t>
      </w:r>
    </w:p>
    <w:p w14:paraId="1C9DE1ED" w14:textId="77777777" w:rsidR="007D0E84" w:rsidRPr="00FD50BC" w:rsidRDefault="007D0E84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6FF0FD90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Лекарственные средства, воздействующие на </w:t>
      </w:r>
      <w:proofErr w:type="spellStart"/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кислоту</w:t>
      </w:r>
    </w:p>
    <w:p w14:paraId="0B3C6D8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Смолы, связывающие желчные кислоты</w:t>
      </w:r>
    </w:p>
    <w:p w14:paraId="2843BE53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Смолы, связывающие желчные кислоты (такие как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холестирамин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колестипол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колесевелам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адсорбируют и снижают абсорбцию желчных кислот и могут способствовать снижению эффективности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кислоты. При одновременном введении смол, связывающих желчные кислоты,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кислоту следует принимать по крайней мере за 4-6 часов до или через 4-6 часов после приема смол, связывающих желчные кислоты, или как можно позже.</w:t>
      </w:r>
    </w:p>
    <w:p w14:paraId="49E9328B" w14:textId="77777777" w:rsidR="00C53310" w:rsidRPr="00FD50BC" w:rsidRDefault="00C53310" w:rsidP="00C5331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Влияние </w:t>
      </w:r>
      <w:proofErr w:type="spellStart"/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 xml:space="preserve"> кислоты на другие лекарственные средства </w:t>
      </w:r>
    </w:p>
    <w:p w14:paraId="1244E7C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>Варфарин</w:t>
      </w:r>
    </w:p>
    <w:p w14:paraId="787C5245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hAnsi="Times New Roman"/>
          <w:color w:val="000000"/>
          <w:sz w:val="28"/>
          <w:szCs w:val="28"/>
        </w:rPr>
        <w:t xml:space="preserve">Международное нормализованное отношение (МНО) снижается после одновременного приема варфарина и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кислоты. Следует контролировать МНО и при необходимости корректировать дозу варфарина для поддержания целевого диапазона МНО при одновременном применении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кислоты и варфарина.</w:t>
      </w:r>
    </w:p>
    <w:p w14:paraId="546D1BD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Взаимодействие с субстратами CYP1A2 с узким терапевтическим индексом</w:t>
      </w:r>
    </w:p>
    <w:p w14:paraId="78D32F1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кислота может увеличивать воздействие сопутствующих лекарственных препаратов, являющиеся субстратами CYP1A2. Рекомендуется терапевтический мониторинг субстратов CYP1A2 с узким терапевтическим индексом (например, теофиллина и тизанидина).</w:t>
      </w:r>
    </w:p>
    <w:p w14:paraId="58C3B4CB" w14:textId="77777777" w:rsidR="00D43297" w:rsidRPr="00FD50BC" w:rsidRDefault="00D43297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66FBA563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Нежелательные реакции, связанные с печенью</w:t>
      </w:r>
    </w:p>
    <w:p w14:paraId="5F04B868" w14:textId="77777777" w:rsidR="00C53310" w:rsidRPr="00FD50BC" w:rsidRDefault="00C53310" w:rsidP="00C5331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печеночной недостаточности, иногда со смертельным исходом или приводящей к трансплантации печени, при лечении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обетихоловой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 у пациентов с ПБХ с компенсированным или декомпенсированным циррозом.</w:t>
      </w:r>
    </w:p>
    <w:p w14:paraId="532347C5" w14:textId="77777777" w:rsidR="00C53310" w:rsidRPr="00FD50BC" w:rsidRDefault="00C53310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Некоторые из этих случаев имели место у пациентов с декомпенсированным циррозом печени, когда они получали дозу, превышающую рекомендуемую для этой группы пациентов; однако продолжали поступать сообщения о случаях печеночной декомпенсации и недостаточности у пациентов с декомпенсированным циррозом, даже когда они получали рекомендуемую дозу. </w:t>
      </w:r>
    </w:p>
    <w:p w14:paraId="0B85302E" w14:textId="77777777" w:rsidR="00C53310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Повышение уровня аланинаминотрансферазы (АЛТ) и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аспартатаминотрансферазы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(АСТ) наблюдалось у пациентов, </w:t>
      </w: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принимавших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кислоту. Также наблюдались клинические признаки и симптомы печеночной декомпенсации. Данные события происходили в течение первого месяца лечения. Связанные с печенью побочные эффекты в основном наблюдались при дозах, превышающих максимальную рекомендуемую - 10 мг один раз в сутки. </w:t>
      </w:r>
    </w:p>
    <w:p w14:paraId="0F95FF80" w14:textId="77777777" w:rsidR="00C53310" w:rsidRPr="00FD50BC" w:rsidRDefault="00AE22F8" w:rsidP="00C5331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се пациенты должны подвергаться мониторингу на предмет прогрессирования ПБХ, включая развитие нежелательных реакций со стороны печени с лабораторной и клинической оценкой для определения необходимости прекращения лечения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кислотой. Пациенты с повышенным риском печеночной декомпенсации, включая пациентов с повышенным уровнем билирубина, признаками портальной гипертензии (например, асцит,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гастроэзофагеальный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варикоз,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персистирующая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тромбоцитопения), сопутствующее заболевание печени (например, аутоиммунный гепатит, алкогольная болезнь печени) и/или тяжелое интеркуррентное заболевание, должны находиться под более тщательным наблюдением на случай необходимости прерывания терапии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кислотой. Лечение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 у пациентов с лабораторными или клиническими признаками печеночной декомпенсации (например, асцит, желтуха, кровотечение варикозных вен, печеночная энцефалопатия), включая прогрессирование до класса B или C по Чайлд-Пью, следует окончательно и незамедлительно завершить.</w:t>
      </w:r>
    </w:p>
    <w:p w14:paraId="08777A1D" w14:textId="77777777" w:rsidR="00E22516" w:rsidRPr="00FD50BC" w:rsidRDefault="00C53310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Лечение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 следует прервать при тяжелых интеркуррентных заболеваниях или у пациентов с клинически значимыми побочными реакциями со стороны печени, а также следует контролировать функцию печени пациента. После разрешения и при отсутствии лабораторных или клинических признаков печеночной декомпенсации следует рассмотреть потенциальные риски и преимущества возобновления лечения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кислотой.</w:t>
      </w:r>
    </w:p>
    <w:p w14:paraId="6A946F3E" w14:textId="77777777" w:rsidR="00E82428" w:rsidRPr="00FD50BC" w:rsidRDefault="00E82428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Тяжелый зуд</w:t>
      </w:r>
    </w:p>
    <w:p w14:paraId="5B7C8D0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 случаях зуда в тяжелой степени сообщалось у 23% пациентов, получавших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кислоту в дозировке 10 мг, у 19% пациентов в группе титрования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кислоты и у 7% пациентов в группе плацебо. Среднее время до начала тяжелого зуда составляло 11, 158 и 75 дней для пациентов, получавших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кислоту 10 мг, титрование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кислоты и плацебо, соответственно. Стратегии лечения включают добавление смол, связывающих желчные кислоты или антигистаминных препаратов, снижение дозы, уменьшение частоты дозирования и/или временную отмену.</w:t>
      </w:r>
    </w:p>
    <w:p w14:paraId="543AB715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Вспомогательные вещества</w:t>
      </w:r>
    </w:p>
    <w:p w14:paraId="6B8E784B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Препарат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Обетимус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p w14:paraId="53A9C304" w14:textId="77777777" w:rsidR="007454E7" w:rsidRPr="00FD50BC" w:rsidRDefault="005C2589" w:rsidP="007B29C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color w:val="000000"/>
          <w:sz w:val="28"/>
          <w:szCs w:val="28"/>
        </w:rPr>
        <w:t>Во время б</w:t>
      </w:r>
      <w:r w:rsidR="007454E7" w:rsidRPr="00FD50BC">
        <w:rPr>
          <w:rFonts w:ascii="Times New Roman" w:hAnsi="Times New Roman"/>
          <w:i/>
          <w:color w:val="000000"/>
          <w:sz w:val="28"/>
          <w:szCs w:val="28"/>
        </w:rPr>
        <w:t>еременност</w:t>
      </w:r>
      <w:r w:rsidRPr="00FD50BC">
        <w:rPr>
          <w:rFonts w:ascii="Times New Roman" w:hAnsi="Times New Roman"/>
          <w:i/>
          <w:color w:val="000000"/>
          <w:sz w:val="28"/>
          <w:szCs w:val="28"/>
        </w:rPr>
        <w:t>и или лактации</w:t>
      </w:r>
    </w:p>
    <w:p w14:paraId="32AB4E57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Нет данных о применении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кислоты у беременных. </w:t>
      </w:r>
      <w:r w:rsidR="00C53310" w:rsidRPr="00FD50BC">
        <w:rPr>
          <w:rFonts w:ascii="Times New Roman" w:hAnsi="Times New Roman"/>
          <w:iCs/>
          <w:color w:val="000000"/>
          <w:sz w:val="28"/>
          <w:szCs w:val="28"/>
          <w:lang w:val="kk-KZ"/>
        </w:rPr>
        <w:t>Доклинические исследования</w:t>
      </w:r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не указывают на прямое или косвенное </w:t>
      </w:r>
      <w:r w:rsidR="00C53310" w:rsidRPr="00FD50BC">
        <w:rPr>
          <w:rFonts w:ascii="Times New Roman" w:hAnsi="Times New Roman"/>
          <w:iCs/>
          <w:color w:val="000000"/>
          <w:sz w:val="28"/>
          <w:szCs w:val="28"/>
          <w:lang w:val="kk-KZ"/>
        </w:rPr>
        <w:t>пагубное</w:t>
      </w:r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воздействие в отношении репродуктивной токсичности. В качестве меры предосторожности предпочтительно избегать использования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кислоты в период беременности.</w:t>
      </w:r>
    </w:p>
    <w:p w14:paraId="70E929E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Неизвестно, выделяется ли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обетихолевая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кислота с грудным молоком. На основании исследований на животных и предполагаемой фармакологии ожидается, что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обетихолевая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кислота не препятствует грудному вскармливанию, а также росту или развитию ребенка, находящегося на грудном вскармливании. Следует принять решение о прекращении грудного вскармливания или о прекращении/воздержании от терапии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кислотой с учетом пользы грудного вскармливания для ребенка и пользы терапии для женщины.</w:t>
      </w:r>
    </w:p>
    <w:p w14:paraId="3BFA96DB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color w:val="000000"/>
          <w:sz w:val="28"/>
          <w:szCs w:val="28"/>
        </w:rPr>
        <w:t>Фертильность</w:t>
      </w:r>
    </w:p>
    <w:p w14:paraId="177A3218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hAnsi="Times New Roman"/>
          <w:iCs/>
          <w:color w:val="000000"/>
          <w:sz w:val="28"/>
          <w:szCs w:val="28"/>
        </w:rPr>
        <w:t>Данных о воздействии на фертильность у людей не имеется. Доклинические данные не указывают на какое-либо прямое или косвенное воздействие на фертильность или рождаемость.</w:t>
      </w:r>
    </w:p>
    <w:p w14:paraId="45E070BA" w14:textId="77777777" w:rsidR="00FA4F7C" w:rsidRPr="00FD50BC" w:rsidRDefault="00FA4F7C" w:rsidP="007B29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D50BC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4E515747" w14:textId="77777777" w:rsidR="007D0E84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 не влияет или оказывает незначительное влияние на способность управлять транспортным средством и потенциально опасными механизмами.</w:t>
      </w:r>
    </w:p>
    <w:p w14:paraId="218E121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59BBC6" w14:textId="77777777" w:rsidR="00DB406A" w:rsidRPr="00FD50BC" w:rsidRDefault="00DB406A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27858195" w14:textId="77777777" w:rsidR="005C4B12" w:rsidRPr="00FD50BC" w:rsidRDefault="00DB406A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47C90520" w14:textId="77777777" w:rsidR="00711607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2" w:name="2175220276"/>
      <w:bookmarkEnd w:id="1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лечения </w:t>
      </w:r>
      <w:proofErr w:type="spellStart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кислотой необходимо знать о состоянии печени пациента.</w:t>
      </w:r>
      <w:r w:rsidR="00711607"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Наличие у пациента декомпенсированного цирроза печени (включая класс B или C по Чайлд-Пью) или предшествующее событие декомпенсации следует определить до начала лечения, поскольку обетихолевая кислота противопоказана данным пациентам.</w:t>
      </w:r>
    </w:p>
    <w:p w14:paraId="05D667DB" w14:textId="77777777" w:rsidR="00711607" w:rsidRPr="00FD50BC" w:rsidRDefault="00711607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Начальная доза составляет 5 мг в течение первых 6 месяцев. </w:t>
      </w:r>
    </w:p>
    <w:p w14:paraId="0D5AFE20" w14:textId="77777777" w:rsidR="00711607" w:rsidRPr="00FD50BC" w:rsidRDefault="00711607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После первых 6 месяцев для пациентов, у которых не достигнуто адекватного снижения уровня щелочной фосфатазы (ЩФ) и/или общего билирубина и которые хорошо переносят обетихолевую кислоту, увеличьте до максимальной дозы 10 мг сс частотой приема один раз в сутки. </w:t>
      </w:r>
    </w:p>
    <w:p w14:paraId="76D3C2A0" w14:textId="77777777" w:rsidR="00711607" w:rsidRPr="00FD50BC" w:rsidRDefault="00711607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>У пациентов, получающих обетихолевую кислоту, коррекции дозы сопутствующей УДХК не требуется.</w:t>
      </w:r>
    </w:p>
    <w:p w14:paraId="34DE6C63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Лечение и коррекция дозы при сильном зуде</w:t>
      </w:r>
    </w:p>
    <w:p w14:paraId="53F0D9F8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Стратегии лечения включают добавление смол, связывающих желчные кислоты, или антигистаминных препаратов.</w:t>
      </w:r>
    </w:p>
    <w:p w14:paraId="59E6EE4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Для пациентов с тяжелой непереносимостью из-за зуда следует учитывать один или несколько из следующих вариантов:</w:t>
      </w:r>
    </w:p>
    <w:p w14:paraId="0B5055A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3" w:name="_Hlk75104618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•</w:t>
      </w:r>
      <w:bookmarkEnd w:id="3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Уменьшение дозировки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кислоты:</w:t>
      </w:r>
    </w:p>
    <w:p w14:paraId="23F2365E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прием 5 мг через день для пациентов с непереносимостью до 5 мг один раз в день</w:t>
      </w:r>
    </w:p>
    <w:p w14:paraId="1E1C7A0F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прием 5 мг один раз в день для пациентов с непереносимостью до 10 мг один раз в день</w:t>
      </w:r>
    </w:p>
    <w:p w14:paraId="458356FC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• Временное прерывание приема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кислоты на срок до 2 недель с последующим возобновлением приема в уменьшенной дозировке.</w:t>
      </w:r>
    </w:p>
    <w:p w14:paraId="5AACCA9A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• Необходимо продолжать увеличивать дозу до 10 мг один раз в сутки по мере переносимости для достижения оптимального ответа.</w:t>
      </w:r>
    </w:p>
    <w:p w14:paraId="31E5539B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Необходимо рассмотреть вопрос об отмене терапии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кислотой у пациентов, продолжающих испытывать стойкий непереносимый зуд.</w:t>
      </w:r>
    </w:p>
    <w:p w14:paraId="45C53D1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Смолы, связывающие желчные кислоты</w:t>
      </w:r>
    </w:p>
    <w:p w14:paraId="3AC5AF1D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пациентов, принимающих смолы, связывающие желчные кислоты,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Обетимус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следует принять по крайней мере за 4-6 часов до или через 4-6 часов после приема смолы, связывающей желчные кислоты, или с максимально возможным интервалом.</w:t>
      </w:r>
    </w:p>
    <w:p w14:paraId="4CDBCCD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группы пациентов</w:t>
      </w:r>
    </w:p>
    <w:p w14:paraId="274F389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с печеночной недостаточностью</w:t>
      </w:r>
    </w:p>
    <w:p w14:paraId="253BC251" w14:textId="77777777" w:rsidR="00FE49B9" w:rsidRPr="00FD50BC" w:rsidRDefault="00FE49B9" w:rsidP="00FE49B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кислота противопоказана пациентам с декомпенсированным циррозом печени (например, классы В или С по Чайлд-Пью) или лицам, у которых уже ранее наблюдалась декомпенсация. </w:t>
      </w:r>
    </w:p>
    <w:p w14:paraId="009A6AC2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пожилого возраст</w:t>
      </w:r>
      <w:r w:rsidR="007B29C6"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 (&gt;</w:t>
      </w: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65 лет)</w:t>
      </w:r>
    </w:p>
    <w:p w14:paraId="3EFE32F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данной группы пациентов имеются ограниченные данные. Коррекции дозы не требуется.</w:t>
      </w:r>
    </w:p>
    <w:p w14:paraId="38F65187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с почечной недостаточностью</w:t>
      </w:r>
    </w:p>
    <w:p w14:paraId="5CA26987" w14:textId="77777777" w:rsidR="00E22516" w:rsidRPr="00FD50BC" w:rsidRDefault="00FE49B9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данной группы пациентов коррекции дозы не требуется</w:t>
      </w:r>
      <w:r w:rsidR="00E2251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DB756C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Дети</w:t>
      </w:r>
    </w:p>
    <w:p w14:paraId="5D89F2D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кислота не используется в педиатрической практике для лечения первичного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билиарного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холангита (ПБХ).</w:t>
      </w:r>
    </w:p>
    <w:p w14:paraId="1036831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50BC">
        <w:rPr>
          <w:rFonts w:ascii="Times New Roman" w:hAnsi="Times New Roman"/>
          <w:b/>
          <w:sz w:val="28"/>
          <w:szCs w:val="28"/>
          <w:lang w:bidi="ru-RU"/>
        </w:rPr>
        <w:t xml:space="preserve">Метод и путь введения </w:t>
      </w:r>
    </w:p>
    <w:p w14:paraId="1650DB49" w14:textId="77777777" w:rsidR="007454E7" w:rsidRPr="00FD50BC" w:rsidRDefault="00E22516" w:rsidP="007B29C6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FD50BC">
        <w:rPr>
          <w:rFonts w:ascii="Times New Roman" w:hAnsi="Times New Roman"/>
          <w:sz w:val="28"/>
          <w:szCs w:val="28"/>
        </w:rPr>
        <w:t>Перорально, в</w:t>
      </w:r>
      <w:r w:rsidRPr="00FD50BC">
        <w:rPr>
          <w:rFonts w:ascii="Times New Roman" w:eastAsia="Microsoft Sans Serif" w:hAnsi="Times New Roman"/>
          <w:sz w:val="28"/>
          <w:szCs w:val="28"/>
          <w:lang w:bidi="ru-RU"/>
        </w:rPr>
        <w:t>о время приема пищи или без нее.</w:t>
      </w:r>
    </w:p>
    <w:p w14:paraId="36F93AA4" w14:textId="77777777" w:rsidR="005C4B12" w:rsidRPr="00FD50BC" w:rsidRDefault="00DB406A" w:rsidP="007B29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4" w:name="2175220278"/>
      <w:bookmarkEnd w:id="2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FD50BC">
        <w:rPr>
          <w:rFonts w:ascii="Times New Roman" w:hAnsi="Times New Roman"/>
          <w:i/>
          <w:sz w:val="28"/>
          <w:szCs w:val="28"/>
        </w:rPr>
        <w:t xml:space="preserve"> </w:t>
      </w:r>
    </w:p>
    <w:bookmarkEnd w:id="4"/>
    <w:p w14:paraId="124B651F" w14:textId="77777777" w:rsidR="00A12563" w:rsidRPr="00FD50BC" w:rsidRDefault="00E22516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hAnsi="Times New Roman"/>
          <w:color w:val="000000"/>
          <w:sz w:val="28"/>
          <w:szCs w:val="28"/>
        </w:rPr>
        <w:t xml:space="preserve">Самая максимальная разовая доза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кислоты у здоровых добровольцев составляла 500 мг. Повторные дозы 250 мг вводились в течение 12 дней подряд, и у некоторых субъектов наблюдался зуд и обратимое повышение уровня трансаминаз в печени. У пациентов с ПБ</w:t>
      </w:r>
      <w:r w:rsidR="00035E74" w:rsidRPr="00FD50BC">
        <w:rPr>
          <w:rFonts w:ascii="Times New Roman" w:hAnsi="Times New Roman"/>
          <w:color w:val="000000"/>
          <w:sz w:val="28"/>
          <w:szCs w:val="28"/>
          <w:lang w:val="kk-KZ"/>
        </w:rPr>
        <w:t>Ц</w:t>
      </w:r>
      <w:r w:rsidRPr="00FD50BC">
        <w:rPr>
          <w:rFonts w:ascii="Times New Roman" w:hAnsi="Times New Roman"/>
          <w:color w:val="000000"/>
          <w:sz w:val="28"/>
          <w:szCs w:val="28"/>
        </w:rPr>
        <w:t xml:space="preserve">, получавших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обетихолевую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кислоту 25 мг один раз в сутки (в 2,5 раза превышающую рекомендуемую) или 50 мг один раз в сутки (в 5 раз превышающую рекомендуемую дозу) наблюдалось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дозозависимое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увеличение частоты нежелательных реакций со стороны печени </w:t>
      </w:r>
      <w:r w:rsidRPr="00FD50BC">
        <w:rPr>
          <w:rFonts w:ascii="Times New Roman" w:hAnsi="Times New Roman"/>
          <w:color w:val="000000"/>
          <w:sz w:val="28"/>
          <w:szCs w:val="28"/>
        </w:rPr>
        <w:lastRenderedPageBreak/>
        <w:t xml:space="preserve">(например, асцита), обострение первичного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билиарного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холангита, впервые возникшая желтуха), а также повышение уровня трансаминаз и билирубина (в 3 раза превышающие верхнюю границу нормы). В случае передозировки необходим тщательный мониторинг и при необходимости назначить поддерживающую терапию.</w:t>
      </w:r>
    </w:p>
    <w:p w14:paraId="71730AEF" w14:textId="77777777" w:rsidR="009F6717" w:rsidRPr="00FD50BC" w:rsidRDefault="009F6717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</w:p>
    <w:p w14:paraId="65776743" w14:textId="77777777" w:rsidR="009F6717" w:rsidRPr="00FD50BC" w:rsidRDefault="009F6717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пропуска приема дозы, не следует принимать двойную дозу, чтобы восполнить пропущенную дозу. Продолжайте прием лекарства согласно установленному графику.</w:t>
      </w:r>
    </w:p>
    <w:p w14:paraId="30C159AC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99D748" w14:textId="77777777" w:rsidR="001937AD" w:rsidRPr="00FD50BC" w:rsidRDefault="001937AD" w:rsidP="007B2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2175220282"/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FD50BC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1CE496B0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bCs/>
          <w:i/>
          <w:iCs/>
          <w:color w:val="000000"/>
          <w:sz w:val="28"/>
          <w:szCs w:val="28"/>
        </w:rPr>
        <w:t>Краткое описание профиля безопасности</w:t>
      </w:r>
    </w:p>
    <w:p w14:paraId="087593E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50BC">
        <w:rPr>
          <w:rFonts w:ascii="Times New Roman" w:hAnsi="Times New Roman"/>
          <w:bCs/>
          <w:color w:val="000000"/>
          <w:sz w:val="28"/>
          <w:szCs w:val="28"/>
        </w:rPr>
        <w:t>Наиболее частыми побочными реакциями являлись зуд (63%) и усталость (22%). Наиболее частой побочной реакцией, приведшей к прекращению приема препарата, являлся зуд. Большинство случаев зуда возникали в течение первого месяца лечения и в течении времени являлись обратимыми при продолжении терапии.</w:t>
      </w:r>
    </w:p>
    <w:p w14:paraId="21B73CE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FD50BC">
        <w:rPr>
          <w:rFonts w:ascii="Times New Roman" w:hAnsi="Times New Roman"/>
          <w:bCs/>
          <w:color w:val="000000"/>
          <w:sz w:val="28"/>
          <w:szCs w:val="28"/>
          <w:u w:val="single"/>
        </w:rPr>
        <w:t>Табличный список побочных реакций</w:t>
      </w:r>
    </w:p>
    <w:p w14:paraId="0DA8A17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50BC">
        <w:rPr>
          <w:rFonts w:ascii="Times New Roman" w:hAnsi="Times New Roman"/>
          <w:bCs/>
          <w:color w:val="000000"/>
          <w:sz w:val="28"/>
          <w:szCs w:val="28"/>
        </w:rPr>
        <w:t xml:space="preserve">Побочные реакции, о которых сообщалось при применении </w:t>
      </w:r>
      <w:proofErr w:type="spellStart"/>
      <w:r w:rsidRPr="00FD50BC">
        <w:rPr>
          <w:rFonts w:ascii="Times New Roman" w:hAnsi="Times New Roman"/>
          <w:b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bCs/>
          <w:color w:val="000000"/>
          <w:sz w:val="28"/>
          <w:szCs w:val="28"/>
        </w:rPr>
        <w:t xml:space="preserve"> кислоты в клиническом исследовании фазы III, перечислены в таблице ниже по системно-органной классификации по </w:t>
      </w:r>
      <w:proofErr w:type="spellStart"/>
      <w:r w:rsidRPr="00FD50BC">
        <w:rPr>
          <w:rFonts w:ascii="Times New Roman" w:hAnsi="Times New Roman"/>
          <w:bCs/>
          <w:color w:val="000000"/>
          <w:sz w:val="28"/>
          <w:szCs w:val="28"/>
        </w:rPr>
        <w:t>MedDRA</w:t>
      </w:r>
      <w:proofErr w:type="spellEnd"/>
      <w:r w:rsidRPr="00FD50BC">
        <w:rPr>
          <w:rFonts w:ascii="Times New Roman" w:hAnsi="Times New Roman"/>
          <w:bCs/>
          <w:color w:val="000000"/>
          <w:sz w:val="28"/>
          <w:szCs w:val="28"/>
        </w:rPr>
        <w:t xml:space="preserve"> и по частоте. Частоты определяются следующим образом: </w:t>
      </w:r>
      <w:r w:rsidR="007B29C6" w:rsidRPr="00FD50BC">
        <w:rPr>
          <w:rFonts w:ascii="Times New Roman" w:hAnsi="Times New Roman"/>
          <w:bCs/>
          <w:i/>
          <w:iCs/>
          <w:color w:val="000000"/>
          <w:sz w:val="28"/>
          <w:szCs w:val="28"/>
        </w:rPr>
        <w:t>очень часто (≥1/10), часто (от ≥1/100 до &lt;1/10), нечасто (от ≥1/1000 до &lt;1/100), редко (от ≥1/10 000 до &lt;1/</w:t>
      </w:r>
      <w:r w:rsidRPr="00FD50BC">
        <w:rPr>
          <w:rFonts w:ascii="Times New Roman" w:hAnsi="Times New Roman"/>
          <w:bCs/>
          <w:i/>
          <w:iCs/>
          <w:color w:val="000000"/>
          <w:sz w:val="28"/>
          <w:szCs w:val="28"/>
        </w:rPr>
        <w:t>1000), очень редко (&lt;1/10 000) и неизвестно (невозможно оценить по имеющимся данным).</w:t>
      </w:r>
    </w:p>
    <w:p w14:paraId="1948395D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50BC">
        <w:rPr>
          <w:rFonts w:ascii="Times New Roman" w:hAnsi="Times New Roman"/>
          <w:b/>
          <w:bCs/>
          <w:sz w:val="28"/>
          <w:szCs w:val="28"/>
        </w:rPr>
        <w:t xml:space="preserve">Таблица </w:t>
      </w:r>
      <w:r w:rsidR="00C53310" w:rsidRPr="00FD50BC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Pr="00FD50BC">
        <w:rPr>
          <w:rFonts w:ascii="Times New Roman" w:hAnsi="Times New Roman"/>
          <w:b/>
          <w:bCs/>
          <w:sz w:val="28"/>
          <w:szCs w:val="28"/>
        </w:rPr>
        <w:t>. Частота побочных реакций у пациентов с ПБЦ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782"/>
        <w:gridCol w:w="2755"/>
        <w:gridCol w:w="2281"/>
      </w:tblGrid>
      <w:tr w:rsidR="00C53310" w:rsidRPr="00FD50BC" w14:paraId="7DF2BFB6" w14:textId="77777777" w:rsidTr="00C53310">
        <w:tc>
          <w:tcPr>
            <w:tcW w:w="2521" w:type="dxa"/>
            <w:shd w:val="clear" w:color="auto" w:fill="auto"/>
          </w:tcPr>
          <w:p w14:paraId="02CD6F6B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</w:rPr>
              <w:t>Системно-органная классификация</w:t>
            </w:r>
          </w:p>
        </w:tc>
        <w:tc>
          <w:tcPr>
            <w:tcW w:w="1904" w:type="dxa"/>
            <w:shd w:val="clear" w:color="auto" w:fill="auto"/>
          </w:tcPr>
          <w:p w14:paraId="1E380C0D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</w:rPr>
              <w:t>Очень часто</w:t>
            </w:r>
          </w:p>
        </w:tc>
        <w:tc>
          <w:tcPr>
            <w:tcW w:w="3057" w:type="dxa"/>
            <w:shd w:val="clear" w:color="auto" w:fill="auto"/>
          </w:tcPr>
          <w:p w14:paraId="673320B2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</w:rPr>
              <w:t>Часто</w:t>
            </w:r>
          </w:p>
        </w:tc>
        <w:tc>
          <w:tcPr>
            <w:tcW w:w="1697" w:type="dxa"/>
          </w:tcPr>
          <w:p w14:paraId="2F7A3291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Неизвестно</w:t>
            </w:r>
          </w:p>
        </w:tc>
      </w:tr>
      <w:tr w:rsidR="00C53310" w:rsidRPr="00FD50BC" w14:paraId="49B4141E" w14:textId="77777777" w:rsidTr="00C53310">
        <w:tc>
          <w:tcPr>
            <w:tcW w:w="2521" w:type="dxa"/>
            <w:shd w:val="clear" w:color="auto" w:fill="auto"/>
          </w:tcPr>
          <w:p w14:paraId="64B19D8E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Эндокринные нарушения</w:t>
            </w:r>
          </w:p>
        </w:tc>
        <w:tc>
          <w:tcPr>
            <w:tcW w:w="1904" w:type="dxa"/>
            <w:shd w:val="clear" w:color="auto" w:fill="auto"/>
          </w:tcPr>
          <w:p w14:paraId="0CF634EB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5C58D72A" w14:textId="77777777" w:rsidR="00C53310" w:rsidRPr="00FD50BC" w:rsidRDefault="00C53310" w:rsidP="007B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Нарушение функции щитовидной железы</w:t>
            </w:r>
          </w:p>
        </w:tc>
        <w:tc>
          <w:tcPr>
            <w:tcW w:w="1697" w:type="dxa"/>
          </w:tcPr>
          <w:p w14:paraId="57433E26" w14:textId="77777777" w:rsidR="00C53310" w:rsidRPr="00FD50BC" w:rsidRDefault="00C53310" w:rsidP="007B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0E5A16AD" w14:textId="77777777" w:rsidTr="00C53310">
        <w:tc>
          <w:tcPr>
            <w:tcW w:w="2521" w:type="dxa"/>
            <w:shd w:val="clear" w:color="auto" w:fill="auto"/>
          </w:tcPr>
          <w:p w14:paraId="1C749459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нервной системы</w:t>
            </w:r>
          </w:p>
        </w:tc>
        <w:tc>
          <w:tcPr>
            <w:tcW w:w="1904" w:type="dxa"/>
            <w:shd w:val="clear" w:color="auto" w:fill="auto"/>
          </w:tcPr>
          <w:p w14:paraId="3F6BDED1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284FD284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Головокружение</w:t>
            </w:r>
          </w:p>
        </w:tc>
        <w:tc>
          <w:tcPr>
            <w:tcW w:w="1697" w:type="dxa"/>
          </w:tcPr>
          <w:p w14:paraId="194BDC96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7ED49FC9" w14:textId="77777777" w:rsidTr="00C53310">
        <w:tc>
          <w:tcPr>
            <w:tcW w:w="2521" w:type="dxa"/>
            <w:shd w:val="clear" w:color="auto" w:fill="auto"/>
          </w:tcPr>
          <w:p w14:paraId="31249675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сердечно-сосудистой системы</w:t>
            </w:r>
          </w:p>
        </w:tc>
        <w:tc>
          <w:tcPr>
            <w:tcW w:w="1904" w:type="dxa"/>
            <w:shd w:val="clear" w:color="auto" w:fill="auto"/>
          </w:tcPr>
          <w:p w14:paraId="63ACD567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7883B485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Сердцебиение</w:t>
            </w:r>
          </w:p>
        </w:tc>
        <w:tc>
          <w:tcPr>
            <w:tcW w:w="1697" w:type="dxa"/>
          </w:tcPr>
          <w:p w14:paraId="6FB145EE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0EFE77C4" w14:textId="77777777" w:rsidTr="00C53310">
        <w:tc>
          <w:tcPr>
            <w:tcW w:w="2521" w:type="dxa"/>
            <w:shd w:val="clear" w:color="auto" w:fill="auto"/>
          </w:tcPr>
          <w:p w14:paraId="3E02EA9D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 xml:space="preserve">Нарушения со </w:t>
            </w:r>
            <w:r w:rsidRPr="00FD50BC">
              <w:rPr>
                <w:rFonts w:ascii="Times New Roman" w:hAnsi="Times New Roman"/>
                <w:sz w:val="28"/>
                <w:szCs w:val="28"/>
              </w:rPr>
              <w:lastRenderedPageBreak/>
              <w:t>стороны дыхательной системы</w:t>
            </w:r>
          </w:p>
        </w:tc>
        <w:tc>
          <w:tcPr>
            <w:tcW w:w="1904" w:type="dxa"/>
            <w:shd w:val="clear" w:color="auto" w:fill="auto"/>
          </w:tcPr>
          <w:p w14:paraId="10EF67F9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4B747441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0BC">
              <w:rPr>
                <w:rFonts w:ascii="Times New Roman" w:hAnsi="Times New Roman"/>
                <w:sz w:val="28"/>
                <w:szCs w:val="28"/>
              </w:rPr>
              <w:t>Орофарингеальная</w:t>
            </w:r>
            <w:proofErr w:type="spellEnd"/>
            <w:r w:rsidRPr="00FD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0BC">
              <w:rPr>
                <w:rFonts w:ascii="Times New Roman" w:hAnsi="Times New Roman"/>
                <w:sz w:val="28"/>
                <w:szCs w:val="28"/>
              </w:rPr>
              <w:lastRenderedPageBreak/>
              <w:t>боль</w:t>
            </w:r>
          </w:p>
        </w:tc>
        <w:tc>
          <w:tcPr>
            <w:tcW w:w="1697" w:type="dxa"/>
          </w:tcPr>
          <w:p w14:paraId="4D9CAF50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0891FD8E" w14:textId="77777777" w:rsidTr="00C53310">
        <w:tc>
          <w:tcPr>
            <w:tcW w:w="2521" w:type="dxa"/>
            <w:shd w:val="clear" w:color="auto" w:fill="auto"/>
          </w:tcPr>
          <w:p w14:paraId="53455CAA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желудочно-кишечного тракта</w:t>
            </w:r>
          </w:p>
        </w:tc>
        <w:tc>
          <w:tcPr>
            <w:tcW w:w="1904" w:type="dxa"/>
            <w:shd w:val="clear" w:color="auto" w:fill="auto"/>
          </w:tcPr>
          <w:p w14:paraId="2700C405" w14:textId="77777777" w:rsidR="00C53310" w:rsidRPr="00FD50BC" w:rsidRDefault="00C53310" w:rsidP="007B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Боль в животе и дискомфорт</w:t>
            </w:r>
          </w:p>
        </w:tc>
        <w:tc>
          <w:tcPr>
            <w:tcW w:w="3057" w:type="dxa"/>
            <w:shd w:val="clear" w:color="auto" w:fill="auto"/>
          </w:tcPr>
          <w:p w14:paraId="636CBA9F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Запор</w:t>
            </w:r>
          </w:p>
        </w:tc>
        <w:tc>
          <w:tcPr>
            <w:tcW w:w="1697" w:type="dxa"/>
          </w:tcPr>
          <w:p w14:paraId="5D40588D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57C651CB" w14:textId="77777777" w:rsidTr="00C53310">
        <w:tc>
          <w:tcPr>
            <w:tcW w:w="2521" w:type="dxa"/>
            <w:shd w:val="clear" w:color="auto" w:fill="auto"/>
          </w:tcPr>
          <w:p w14:paraId="63B8EC60" w14:textId="77777777" w:rsidR="00C53310" w:rsidRPr="00FD50BC" w:rsidRDefault="00C53310" w:rsidP="00C5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печени</w:t>
            </w:r>
          </w:p>
        </w:tc>
        <w:tc>
          <w:tcPr>
            <w:tcW w:w="1904" w:type="dxa"/>
            <w:shd w:val="clear" w:color="auto" w:fill="auto"/>
          </w:tcPr>
          <w:p w14:paraId="48511D21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6AD7574C" w14:textId="77777777" w:rsidR="00C53310" w:rsidRPr="00FD50BC" w:rsidRDefault="00C53310" w:rsidP="00C5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623CF66B" w14:textId="77777777" w:rsidR="00C53310" w:rsidRPr="00FD50BC" w:rsidRDefault="00C53310" w:rsidP="00C5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Печеночная недостаточность, увеличение в крови билирубина, желтуха, цирроз печени</w:t>
            </w:r>
          </w:p>
        </w:tc>
      </w:tr>
      <w:tr w:rsidR="00C53310" w:rsidRPr="00FD50BC" w14:paraId="5279860E" w14:textId="77777777" w:rsidTr="00C53310">
        <w:tc>
          <w:tcPr>
            <w:tcW w:w="2521" w:type="dxa"/>
            <w:shd w:val="clear" w:color="auto" w:fill="auto"/>
          </w:tcPr>
          <w:p w14:paraId="6E3CBA4D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кожных покровов</w:t>
            </w:r>
          </w:p>
        </w:tc>
        <w:tc>
          <w:tcPr>
            <w:tcW w:w="1904" w:type="dxa"/>
            <w:shd w:val="clear" w:color="auto" w:fill="auto"/>
          </w:tcPr>
          <w:p w14:paraId="2AC408D8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Зуд</w:t>
            </w:r>
          </w:p>
        </w:tc>
        <w:tc>
          <w:tcPr>
            <w:tcW w:w="3057" w:type="dxa"/>
            <w:shd w:val="clear" w:color="auto" w:fill="auto"/>
          </w:tcPr>
          <w:p w14:paraId="3D941D76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Экзема, сыпь</w:t>
            </w:r>
          </w:p>
        </w:tc>
        <w:tc>
          <w:tcPr>
            <w:tcW w:w="1697" w:type="dxa"/>
          </w:tcPr>
          <w:p w14:paraId="763B0D48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4DDC612D" w14:textId="77777777" w:rsidTr="00C53310">
        <w:tc>
          <w:tcPr>
            <w:tcW w:w="2521" w:type="dxa"/>
            <w:shd w:val="clear" w:color="auto" w:fill="auto"/>
          </w:tcPr>
          <w:p w14:paraId="1B18AD84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костно-мышечной системы</w:t>
            </w:r>
          </w:p>
        </w:tc>
        <w:tc>
          <w:tcPr>
            <w:tcW w:w="1904" w:type="dxa"/>
            <w:shd w:val="clear" w:color="auto" w:fill="auto"/>
          </w:tcPr>
          <w:p w14:paraId="1CC5600C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5B025D96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Артралгия</w:t>
            </w:r>
          </w:p>
        </w:tc>
        <w:tc>
          <w:tcPr>
            <w:tcW w:w="1697" w:type="dxa"/>
          </w:tcPr>
          <w:p w14:paraId="04CD2A4C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71DED044" w14:textId="77777777" w:rsidTr="00C53310">
        <w:tc>
          <w:tcPr>
            <w:tcW w:w="2521" w:type="dxa"/>
            <w:shd w:val="clear" w:color="auto" w:fill="auto"/>
          </w:tcPr>
          <w:p w14:paraId="1A88E4B3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Общие нарушения и состояния в месте введения</w:t>
            </w:r>
          </w:p>
        </w:tc>
        <w:tc>
          <w:tcPr>
            <w:tcW w:w="1904" w:type="dxa"/>
            <w:shd w:val="clear" w:color="auto" w:fill="auto"/>
          </w:tcPr>
          <w:p w14:paraId="10BA6958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Усталость</w:t>
            </w:r>
          </w:p>
        </w:tc>
        <w:tc>
          <w:tcPr>
            <w:tcW w:w="3057" w:type="dxa"/>
            <w:shd w:val="clear" w:color="auto" w:fill="auto"/>
          </w:tcPr>
          <w:p w14:paraId="5A67FEED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 xml:space="preserve">Периферический отек, </w:t>
            </w:r>
            <w:proofErr w:type="spellStart"/>
            <w:r w:rsidRPr="00FD50BC">
              <w:rPr>
                <w:rFonts w:ascii="Times New Roman" w:hAnsi="Times New Roman"/>
                <w:sz w:val="28"/>
                <w:szCs w:val="28"/>
              </w:rPr>
              <w:t>пирексия</w:t>
            </w:r>
            <w:proofErr w:type="spellEnd"/>
          </w:p>
        </w:tc>
        <w:tc>
          <w:tcPr>
            <w:tcW w:w="1697" w:type="dxa"/>
          </w:tcPr>
          <w:p w14:paraId="62ABBF82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E8AC1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>Описание избранных побочных реакций</w:t>
      </w:r>
    </w:p>
    <w:p w14:paraId="781E39F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>Отмена приема препарата</w:t>
      </w:r>
    </w:p>
    <w:p w14:paraId="3AA32D4C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Побочные реакции, приводящие к прекращению лечения, составили 1% (зуд) в группе титрования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и 11% (зуд и усталость) в группе приема 10 мг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кислоты.</w:t>
      </w:r>
    </w:p>
    <w:p w14:paraId="210D91A8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>Зуд</w:t>
      </w:r>
    </w:p>
    <w:p w14:paraId="209993B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Приблизительно 60% пациентов имели в анамнезе зуд при включении в исследование III фазы. Зуд, вызванный лечением, обычно возникает в течение первого месяца после начала лечения.</w:t>
      </w:r>
    </w:p>
    <w:p w14:paraId="3EC51B2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По сравнению с пациентами, начавшие прием с 10 мг один раз в сутки в группе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10 мг, пациенты в группе титрования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имели более низкую частоту возникновения зуда (70% и 56% соответственно) и более низкий процент отмены приема связанных с зудом (10% и 1% соответственно).</w:t>
      </w:r>
    </w:p>
    <w:p w14:paraId="2AAFF6D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Процент пациентов, которым потребовалось вмешательство (например, коррекция дозы, прерывание лечения или введение антигистаминных препаратов или связывающих желчные кислоты смол), составил 41% в </w:t>
      </w:r>
      <w:r w:rsidRPr="00FD50BC">
        <w:rPr>
          <w:rFonts w:ascii="Times New Roman" w:hAnsi="Times New Roman"/>
          <w:sz w:val="28"/>
          <w:szCs w:val="28"/>
        </w:rPr>
        <w:lastRenderedPageBreak/>
        <w:t xml:space="preserve">группе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10 мг, 34% в группе титрования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и 19% в группе плацебо.</w:t>
      </w:r>
    </w:p>
    <w:p w14:paraId="3B9E8FF8" w14:textId="77777777" w:rsidR="007B29C6" w:rsidRPr="00FD50BC" w:rsidRDefault="007B29C6" w:rsidP="007B29C6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D05F775" w14:textId="77777777" w:rsidR="007B29C6" w:rsidRPr="00FD50BC" w:rsidRDefault="00827BB2" w:rsidP="007B29C6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50BC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FD50BC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FD50BC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FD50BC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FD50B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8F31F96" w14:textId="77777777" w:rsidR="00E22516" w:rsidRPr="00FD50BC" w:rsidRDefault="00E22516" w:rsidP="007B29C6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РГП на ПХВ «Национальный Центр экспертизы лекарственных средств и медицинских изделий» Комитет</w:t>
      </w:r>
      <w:r w:rsidR="007B29C6" w:rsidRPr="00FD50BC">
        <w:rPr>
          <w:rFonts w:ascii="Times New Roman" w:hAnsi="Times New Roman"/>
          <w:sz w:val="28"/>
          <w:szCs w:val="28"/>
        </w:rPr>
        <w:t>а</w:t>
      </w:r>
      <w:r w:rsidRPr="00FD50BC">
        <w:rPr>
          <w:rFonts w:ascii="Times New Roman" w:hAnsi="Times New Roman"/>
          <w:sz w:val="28"/>
          <w:szCs w:val="28"/>
        </w:rPr>
        <w:t xml:space="preserve"> медицинского и фармацевтического контроля Министерства здравоохранения Республики Казахстан</w:t>
      </w:r>
    </w:p>
    <w:p w14:paraId="220FC6C3" w14:textId="77777777" w:rsidR="006703A5" w:rsidRPr="00FD50BC" w:rsidRDefault="00CF7FCA" w:rsidP="007B29C6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FD50BC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FD50B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FD50B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5248F7B0" w14:textId="77777777" w:rsidR="006703A5" w:rsidRPr="00FD50BC" w:rsidRDefault="006703A5" w:rsidP="007B29C6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52F467" w14:textId="77777777" w:rsidR="000C2C4B" w:rsidRPr="00FD50BC" w:rsidRDefault="000C2C4B" w:rsidP="007B29C6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D76E89D" w14:textId="77777777" w:rsidR="006B7A90" w:rsidRPr="00FD50BC" w:rsidRDefault="00844CE8" w:rsidP="007B29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6" w:name="2175220285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5C696AB" w14:textId="77777777" w:rsidR="006B7A90" w:rsidRPr="00FD50BC" w:rsidRDefault="004F2AF1" w:rsidP="007B2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7" w:name="2175220286"/>
      <w:bookmarkEnd w:id="6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Каждая таблетка, покрытая пленочной оболочкой, содержит:</w:t>
      </w:r>
    </w:p>
    <w:p w14:paraId="4E8EEA79" w14:textId="77777777" w:rsidR="006B7A90" w:rsidRPr="00FD50BC" w:rsidRDefault="00844CE8" w:rsidP="007B2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4F2AF1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="004F2AF1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B29C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кислота 5.00 мг или 10.00 мг,</w:t>
      </w:r>
    </w:p>
    <w:p w14:paraId="5BC60151" w14:textId="77777777" w:rsidR="003277C4" w:rsidRPr="00FD50BC" w:rsidRDefault="006B7A90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целлюлоза микрокристаллическая тип 102 (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Farmacel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102), натрия крахмала 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гликолят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(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Primojel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Type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-A), </w:t>
      </w:r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магния </w:t>
      </w:r>
      <w:proofErr w:type="spellStart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>стеарат</w:t>
      </w:r>
      <w:proofErr w:type="spellEnd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(</w:t>
      </w:r>
      <w:proofErr w:type="spellStart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>Ligamed</w:t>
      </w:r>
      <w:proofErr w:type="spellEnd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MF-2-V).</w:t>
      </w:r>
    </w:p>
    <w:p w14:paraId="562D66B4" w14:textId="77777777" w:rsidR="006B7A90" w:rsidRPr="00FD50BC" w:rsidRDefault="003277C4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Пленочная оболочка </w:t>
      </w:r>
      <w:proofErr w:type="spellStart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>Опадрай</w:t>
      </w:r>
      <w:proofErr w:type="spellEnd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® II желтый (85F520340): поливиниловый спирт, частично гидролизованный, титана диоксид (Е 171), </w:t>
      </w:r>
      <w:proofErr w:type="spellStart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>макрогол</w:t>
      </w:r>
      <w:proofErr w:type="spellEnd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(ПЭГ), тальк, железа оксид желтый (E 172).</w:t>
      </w:r>
    </w:p>
    <w:p w14:paraId="26C9DEE9" w14:textId="77777777" w:rsidR="004404BD" w:rsidRPr="00FD50BC" w:rsidRDefault="004404BD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14:paraId="29794A1E" w14:textId="77777777" w:rsidR="006B7A90" w:rsidRPr="00FD50BC" w:rsidRDefault="006B7A90" w:rsidP="007B29C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2D1D2097" w14:textId="77777777" w:rsidR="003277C4" w:rsidRPr="00FD50BC" w:rsidRDefault="003277C4" w:rsidP="007B29C6">
      <w:pPr>
        <w:pStyle w:val="ac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</w:pPr>
      <w:r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Таблетки круглой формы, покрытые пленочной оболочкой желтого цвета, на одной стороне выгравировано «5», на другой стороне «ОР» (для дозировки</w:t>
      </w:r>
      <w:r w:rsidR="007B29C6"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 xml:space="preserve"> </w:t>
      </w:r>
      <w:r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5 мг).</w:t>
      </w:r>
    </w:p>
    <w:p w14:paraId="51780377" w14:textId="77777777" w:rsidR="006B7A90" w:rsidRPr="00FD50BC" w:rsidRDefault="003277C4" w:rsidP="007B29C6">
      <w:pPr>
        <w:pStyle w:val="ac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</w:pPr>
      <w:r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Таблетки круглой формы, покрытые пленочной оболочкой желтого цвета, на одной стороне выгравировано «6», на другой стороне «ОР» (для дозировки 10 мг).</w:t>
      </w:r>
    </w:p>
    <w:p w14:paraId="0429D86E" w14:textId="77777777" w:rsidR="003277C4" w:rsidRPr="00FD50BC" w:rsidRDefault="003277C4" w:rsidP="007B29C6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60B286" w14:textId="77777777" w:rsidR="00C9308C" w:rsidRPr="00FD50BC" w:rsidRDefault="007B29C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выпуска </w:t>
      </w:r>
      <w:r w:rsidR="00C9308C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и упаковка</w:t>
      </w:r>
    </w:p>
    <w:p w14:paraId="1CADB239" w14:textId="77777777" w:rsidR="003277C4" w:rsidRPr="00FD50BC" w:rsidRDefault="003277C4" w:rsidP="007B29C6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По 30 таблеток помещают в полиэтиленовый контейнер высокой плотности.</w:t>
      </w:r>
    </w:p>
    <w:p w14:paraId="4E9AEBA1" w14:textId="77777777" w:rsidR="003277C4" w:rsidRPr="00FD50BC" w:rsidRDefault="003277C4" w:rsidP="007B29C6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На контейнер прикрепляют этикетку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самоклеющуюся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</w:p>
    <w:p w14:paraId="284E5ECD" w14:textId="77777777" w:rsidR="004F2AF1" w:rsidRPr="00FD50BC" w:rsidRDefault="003277C4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По 1 контейнеру вместе с инструкцией по медицинскому применению на казахском и русском языках вкладывают в пачку из картона.</w:t>
      </w:r>
    </w:p>
    <w:p w14:paraId="619793BF" w14:textId="77777777" w:rsidR="007B29C6" w:rsidRPr="00FD50BC" w:rsidRDefault="007B29C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0BE5D9" w14:textId="77777777" w:rsidR="00844CE8" w:rsidRPr="00FD50BC" w:rsidRDefault="00844CE8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67D790B" w14:textId="77777777" w:rsidR="00D14D61" w:rsidRPr="00FD50BC" w:rsidRDefault="00C53310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="004F2AF1"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26997237" w14:textId="77777777" w:rsidR="000E01AB" w:rsidRPr="00FD50BC" w:rsidRDefault="00D14D61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FD50BC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FD50BC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67BF6BF0" w14:textId="77777777" w:rsidR="00A2581E" w:rsidRPr="00FD50BC" w:rsidRDefault="00A2581E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CCCBA" w14:textId="77777777" w:rsidR="000E01AB" w:rsidRPr="00FD50BC" w:rsidRDefault="00D14D61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8"/>
      <w:bookmarkEnd w:id="8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Условия хранения</w:t>
      </w:r>
    </w:p>
    <w:p w14:paraId="5B66BCAF" w14:textId="77777777" w:rsidR="004F2AF1" w:rsidRPr="00FD50BC" w:rsidRDefault="004F2AF1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hAnsi="Times New Roman"/>
          <w:sz w:val="28"/>
          <w:szCs w:val="28"/>
        </w:rPr>
        <w:t xml:space="preserve">Хранить при </w:t>
      </w:r>
      <w:r w:rsidR="001D52B6" w:rsidRPr="00FD50BC">
        <w:rPr>
          <w:rFonts w:ascii="Times New Roman" w:hAnsi="Times New Roman"/>
          <w:sz w:val="28"/>
          <w:szCs w:val="28"/>
        </w:rPr>
        <w:t>температуре не</w:t>
      </w:r>
      <w:r w:rsidRPr="00FD50BC">
        <w:rPr>
          <w:rFonts w:ascii="Times New Roman" w:hAnsi="Times New Roman"/>
          <w:sz w:val="28"/>
          <w:szCs w:val="28"/>
        </w:rPr>
        <w:t xml:space="preserve"> выше 25</w:t>
      </w:r>
      <w:r w:rsidR="007B29C6" w:rsidRPr="00FD50BC">
        <w:rPr>
          <w:rFonts w:ascii="Times New Roman" w:hAnsi="Times New Roman"/>
          <w:sz w:val="28"/>
          <w:szCs w:val="28"/>
        </w:rPr>
        <w:t xml:space="preserve"> </w:t>
      </w:r>
      <w:r w:rsidRPr="00FD50BC">
        <w:rPr>
          <w:rFonts w:ascii="Times New Roman" w:hAnsi="Times New Roman"/>
          <w:sz w:val="28"/>
          <w:szCs w:val="28"/>
        </w:rPr>
        <w:t>ºС.</w:t>
      </w:r>
    </w:p>
    <w:p w14:paraId="0F61597F" w14:textId="77777777" w:rsidR="00D14D61" w:rsidRPr="00FD50BC" w:rsidRDefault="00D14D61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0" w:name="2175220289"/>
      <w:bookmarkEnd w:id="9"/>
    </w:p>
    <w:bookmarkEnd w:id="10"/>
    <w:p w14:paraId="24B32166" w14:textId="77777777" w:rsidR="006B7A90" w:rsidRPr="00FD50BC" w:rsidRDefault="006B7A90" w:rsidP="007B29C6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150BBE" w14:textId="77777777" w:rsidR="006C6558" w:rsidRPr="00FD50BC" w:rsidRDefault="006C6558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4D7028A7" w14:textId="77777777" w:rsidR="004F2AF1" w:rsidRPr="00FD50BC" w:rsidRDefault="004F2AF1" w:rsidP="007B29C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50BC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62D46416" w14:textId="77777777" w:rsidR="006C6558" w:rsidRPr="00FD50BC" w:rsidRDefault="006C6558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107C88" w14:textId="77777777" w:rsidR="006B7A90" w:rsidRPr="00FD50BC" w:rsidRDefault="007C1693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58862D65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Optimus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Pharma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Private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, Индия</w:t>
      </w:r>
    </w:p>
    <w:p w14:paraId="2E885A2D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Plot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No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.: 73/B, 73/B/2, EPIP,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Pashamylaram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Village</w:t>
      </w:r>
      <w:proofErr w:type="spellEnd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/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Пашамыларам</w:t>
      </w:r>
      <w:proofErr w:type="spellEnd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Виллидж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Patancheru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Mandal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Sangareddy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District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- 502307,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Telangana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State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Индия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14:paraId="3FF84C0F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Тел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+914033889898</w:t>
      </w: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электронный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адрес </w:t>
      </w:r>
      <w:hyperlink r:id="rId9" w:history="1">
        <w:r w:rsidRPr="00FD50BC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uk-UA" w:eastAsia="ru-RU"/>
          </w:rPr>
          <w:t>info@optimuspharma.com</w:t>
        </w:r>
      </w:hyperlink>
    </w:p>
    <w:p w14:paraId="338AC1E1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D3C93D3" w14:textId="77777777" w:rsidR="00D76048" w:rsidRPr="00FD50BC" w:rsidRDefault="005A3C81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4800039B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Optimus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Pharma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Private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Limited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, Индия</w:t>
      </w:r>
    </w:p>
    <w:p w14:paraId="4397382F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Plot No.: 73/B, 73/B/2, EPIP,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Pashamylaram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Village</w:t>
      </w:r>
      <w:r w:rsidR="00136314"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/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Пашамыларам</w:t>
      </w:r>
      <w:proofErr w:type="spellEnd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Виллидж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,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Patancheru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Mandal,</w:t>
      </w:r>
      <w:r w:rsidR="00136314"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Sangareddy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District - 502307, Telangana State, 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1B534BFA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Тел. +914033889898, электронный адрес </w:t>
      </w:r>
      <w:hyperlink r:id="rId10" w:history="1">
        <w:r w:rsidRPr="00FD50BC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info@optimuspharma.com</w:t>
        </w:r>
      </w:hyperlink>
    </w:p>
    <w:p w14:paraId="659674AF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14:paraId="5807469F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>Наименова</w:t>
      </w:r>
      <w:r w:rsidR="007B29C6" w:rsidRPr="00FD50BC">
        <w:rPr>
          <w:rFonts w:ascii="Times New Roman" w:hAnsi="Times New Roman"/>
          <w:b/>
          <w:iCs/>
          <w:sz w:val="28"/>
          <w:szCs w:val="28"/>
          <w:lang w:val="kk-KZ"/>
        </w:rPr>
        <w:t xml:space="preserve">ние, адрес и контактные данные (телефон, факс, электронная </w:t>
      </w: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 xml:space="preserve">почта) организации </w:t>
      </w:r>
      <w:r w:rsidRPr="00FD50BC">
        <w:rPr>
          <w:rFonts w:ascii="Times New Roman" w:hAnsi="Times New Roman"/>
          <w:b/>
          <w:iCs/>
          <w:sz w:val="28"/>
          <w:szCs w:val="28"/>
        </w:rPr>
        <w:t>на территории Республики Казахстан, прин</w:t>
      </w:r>
      <w:r w:rsidR="007B29C6" w:rsidRPr="00FD50BC">
        <w:rPr>
          <w:rFonts w:ascii="Times New Roman" w:hAnsi="Times New Roman"/>
          <w:b/>
          <w:iCs/>
          <w:sz w:val="28"/>
          <w:szCs w:val="28"/>
        </w:rPr>
        <w:t>имающей претензии (предложения) по качеству лекарственных средств</w:t>
      </w:r>
      <w:r w:rsidRPr="00FD50BC">
        <w:rPr>
          <w:rFonts w:ascii="Times New Roman" w:hAnsi="Times New Roman"/>
          <w:b/>
          <w:iCs/>
          <w:sz w:val="28"/>
          <w:szCs w:val="28"/>
        </w:rPr>
        <w:t xml:space="preserve"> от потребителей </w:t>
      </w:r>
    </w:p>
    <w:p w14:paraId="2A2D34EE" w14:textId="77777777" w:rsidR="005E38B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50BC">
        <w:rPr>
          <w:rFonts w:ascii="Times New Roman" w:hAnsi="Times New Roman"/>
          <w:sz w:val="28"/>
          <w:szCs w:val="28"/>
          <w:lang w:val="uk-UA"/>
        </w:rPr>
        <w:t>ТОО «</w:t>
      </w:r>
      <w:proofErr w:type="spellStart"/>
      <w:r w:rsidRPr="00FD50BC">
        <w:rPr>
          <w:rFonts w:ascii="Times New Roman" w:hAnsi="Times New Roman"/>
          <w:sz w:val="28"/>
          <w:szCs w:val="28"/>
        </w:rPr>
        <w:t>Rogers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50BC">
        <w:rPr>
          <w:rFonts w:ascii="Times New Roman" w:hAnsi="Times New Roman"/>
          <w:sz w:val="28"/>
          <w:szCs w:val="28"/>
        </w:rPr>
        <w:t>Pharma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», Казахстан, 050043, </w:t>
      </w:r>
    </w:p>
    <w:p w14:paraId="235448E8" w14:textId="77777777" w:rsidR="005E38B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50BC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Алматы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мкн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Мирас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, 157, блок 2,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н.п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 819, </w:t>
      </w:r>
    </w:p>
    <w:p w14:paraId="737DB9D4" w14:textId="77777777" w:rsidR="005E38B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.: </w:t>
      </w:r>
      <w:r w:rsidR="00742014" w:rsidRPr="00FD50BC">
        <w:rPr>
          <w:rFonts w:ascii="Times New Roman" w:hAnsi="Times New Roman"/>
          <w:sz w:val="28"/>
          <w:szCs w:val="28"/>
          <w:lang w:val="uk-UA"/>
        </w:rPr>
        <w:t xml:space="preserve">+7 </w:t>
      </w:r>
      <w:r w:rsidRPr="00FD50BC">
        <w:rPr>
          <w:rFonts w:ascii="Times New Roman" w:hAnsi="Times New Roman"/>
          <w:sz w:val="28"/>
          <w:szCs w:val="28"/>
          <w:lang w:val="uk-UA"/>
        </w:rPr>
        <w:t xml:space="preserve">(727) 311-81-96/97, </w:t>
      </w:r>
    </w:p>
    <w:p w14:paraId="394EFA25" w14:textId="77777777" w:rsidR="003277C4" w:rsidRPr="00FD50BC" w:rsidRDefault="00DC192B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электронный адрес</w:t>
      </w:r>
      <w:r w:rsidR="003277C4" w:rsidRPr="00FD50B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office</w:t>
      </w:r>
      <w:r w:rsidR="003277C4" w:rsidRPr="00FD50BC">
        <w:rPr>
          <w:rFonts w:ascii="Times New Roman" w:hAnsi="Times New Roman"/>
          <w:sz w:val="28"/>
          <w:szCs w:val="28"/>
        </w:rPr>
        <w:t>.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secretary</w:t>
      </w:r>
      <w:r w:rsidR="003277C4" w:rsidRPr="00FD50BC">
        <w:rPr>
          <w:rFonts w:ascii="Times New Roman" w:hAnsi="Times New Roman"/>
          <w:sz w:val="28"/>
          <w:szCs w:val="28"/>
        </w:rPr>
        <w:t>@</w:t>
      </w:r>
      <w:proofErr w:type="spellStart"/>
      <w:r w:rsidR="003277C4" w:rsidRPr="00FD50BC">
        <w:rPr>
          <w:rFonts w:ascii="Times New Roman" w:hAnsi="Times New Roman"/>
          <w:sz w:val="28"/>
          <w:szCs w:val="28"/>
          <w:lang w:val="en-US"/>
        </w:rPr>
        <w:t>rogersgroup</w:t>
      </w:r>
      <w:proofErr w:type="spellEnd"/>
      <w:r w:rsidR="003277C4" w:rsidRPr="00FD50BC">
        <w:rPr>
          <w:rFonts w:ascii="Times New Roman" w:hAnsi="Times New Roman"/>
          <w:sz w:val="28"/>
          <w:szCs w:val="28"/>
        </w:rPr>
        <w:t>.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in</w:t>
      </w:r>
    </w:p>
    <w:p w14:paraId="25DF284C" w14:textId="77777777" w:rsidR="003277C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D19B0B1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>Наименова</w:t>
      </w:r>
      <w:r w:rsidR="007B29C6" w:rsidRPr="00FD50BC">
        <w:rPr>
          <w:rFonts w:ascii="Times New Roman" w:hAnsi="Times New Roman"/>
          <w:b/>
          <w:iCs/>
          <w:sz w:val="28"/>
          <w:szCs w:val="28"/>
          <w:lang w:val="kk-KZ"/>
        </w:rPr>
        <w:t>ние, адрес и контактные данные (телефон, факс, электронная</w:t>
      </w: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 xml:space="preserve"> почта) организации </w:t>
      </w:r>
      <w:r w:rsidRPr="00FD50BC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Pr="00FD50BC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5D9C6245" w14:textId="77777777" w:rsidR="007B29C6" w:rsidRPr="00FD50BC" w:rsidRDefault="007B29C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50BC">
        <w:rPr>
          <w:rFonts w:ascii="Times New Roman" w:hAnsi="Times New Roman"/>
          <w:sz w:val="28"/>
          <w:szCs w:val="28"/>
        </w:rPr>
        <w:t>Канумуру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И.</w:t>
      </w:r>
      <w:r w:rsidR="003277C4" w:rsidRPr="00FD50BC">
        <w:rPr>
          <w:rFonts w:ascii="Times New Roman" w:hAnsi="Times New Roman"/>
          <w:sz w:val="28"/>
          <w:szCs w:val="28"/>
        </w:rPr>
        <w:t>Г.</w:t>
      </w:r>
      <w:r w:rsidR="003277C4" w:rsidRPr="00FD50BC">
        <w:rPr>
          <w:rFonts w:ascii="Times New Roman" w:hAnsi="Times New Roman"/>
          <w:sz w:val="28"/>
          <w:szCs w:val="28"/>
          <w:lang w:val="uk-UA"/>
        </w:rPr>
        <w:t xml:space="preserve">, Казахстан, 050043, </w:t>
      </w:r>
    </w:p>
    <w:p w14:paraId="5372E787" w14:textId="77777777" w:rsidR="007B29C6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Алматы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мкн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D50BC">
        <w:rPr>
          <w:rFonts w:ascii="Times New Roman" w:hAnsi="Times New Roman"/>
          <w:sz w:val="28"/>
          <w:szCs w:val="28"/>
        </w:rPr>
        <w:t>Мирас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, 157, блок 2, </w:t>
      </w:r>
      <w:proofErr w:type="spellStart"/>
      <w:r w:rsidRPr="00FD50BC">
        <w:rPr>
          <w:rFonts w:ascii="Times New Roman" w:hAnsi="Times New Roman"/>
          <w:sz w:val="28"/>
          <w:szCs w:val="28"/>
        </w:rPr>
        <w:t>н.п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. 819, </w:t>
      </w:r>
    </w:p>
    <w:p w14:paraId="7A29068C" w14:textId="77777777" w:rsidR="007B29C6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тел.: </w:t>
      </w:r>
      <w:r w:rsidR="00000CBC" w:rsidRPr="00FD50BC">
        <w:rPr>
          <w:rFonts w:ascii="Times New Roman" w:hAnsi="Times New Roman"/>
          <w:sz w:val="28"/>
          <w:szCs w:val="28"/>
          <w:lang w:val="uk-UA"/>
        </w:rPr>
        <w:t>+7 (727) 311-81-96/97</w:t>
      </w:r>
      <w:r w:rsidR="00000CBC" w:rsidRPr="00941CB7">
        <w:rPr>
          <w:rFonts w:ascii="Times New Roman" w:hAnsi="Times New Roman"/>
          <w:sz w:val="28"/>
          <w:szCs w:val="28"/>
        </w:rPr>
        <w:t xml:space="preserve">. </w:t>
      </w:r>
      <w:r w:rsidR="00742014" w:rsidRPr="00FD50BC">
        <w:rPr>
          <w:rFonts w:ascii="Times New Roman" w:hAnsi="Times New Roman"/>
          <w:sz w:val="28"/>
          <w:szCs w:val="28"/>
          <w:lang w:val="kk-KZ"/>
        </w:rPr>
        <w:t>+7</w:t>
      </w:r>
      <w:r w:rsidR="00A943DF">
        <w:rPr>
          <w:rFonts w:ascii="Times New Roman" w:hAnsi="Times New Roman"/>
          <w:sz w:val="28"/>
          <w:szCs w:val="28"/>
          <w:lang w:val="kk-KZ"/>
        </w:rPr>
        <w:t> </w:t>
      </w:r>
      <w:r w:rsidR="00A943DF">
        <w:rPr>
          <w:rFonts w:ascii="Times New Roman" w:hAnsi="Times New Roman"/>
          <w:sz w:val="28"/>
          <w:szCs w:val="28"/>
        </w:rPr>
        <w:t>747 991 19 04</w:t>
      </w:r>
      <w:r w:rsidR="00000CBC">
        <w:rPr>
          <w:rFonts w:ascii="Times New Roman" w:hAnsi="Times New Roman"/>
          <w:sz w:val="28"/>
          <w:szCs w:val="28"/>
        </w:rPr>
        <w:t>,</w:t>
      </w:r>
      <w:r w:rsidRPr="00FD50BC">
        <w:rPr>
          <w:rFonts w:ascii="Times New Roman" w:hAnsi="Times New Roman"/>
          <w:sz w:val="28"/>
          <w:szCs w:val="28"/>
        </w:rPr>
        <w:t xml:space="preserve"> </w:t>
      </w:r>
    </w:p>
    <w:p w14:paraId="12ED2744" w14:textId="77777777" w:rsidR="003277C4" w:rsidRPr="007B29C6" w:rsidRDefault="00DC192B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электронный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адрес</w:t>
      </w:r>
      <w:r w:rsidR="003277C4" w:rsidRPr="00FD50BC">
        <w:rPr>
          <w:rFonts w:ascii="Times New Roman" w:hAnsi="Times New Roman"/>
          <w:sz w:val="28"/>
          <w:szCs w:val="28"/>
        </w:rPr>
        <w:t>: irina.volovnikova@gmail.co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m</w:t>
      </w:r>
    </w:p>
    <w:p w14:paraId="2F081FAA" w14:textId="5CB8C32C" w:rsidR="00866159" w:rsidRDefault="00866159"/>
    <w:sectPr w:rsidR="00866159" w:rsidSect="00F97B5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A18A" w14:textId="77777777" w:rsidR="00CF7FCA" w:rsidRDefault="00CF7FCA" w:rsidP="00D275FC">
      <w:pPr>
        <w:spacing w:after="0" w:line="240" w:lineRule="auto"/>
      </w:pPr>
      <w:r>
        <w:separator/>
      </w:r>
    </w:p>
  </w:endnote>
  <w:endnote w:type="continuationSeparator" w:id="0">
    <w:p w14:paraId="69871FD8" w14:textId="77777777" w:rsidR="00CF7FCA" w:rsidRDefault="00CF7FC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70CD" w14:textId="77777777" w:rsidR="009D472B" w:rsidRDefault="00CF7FCA"/>
  <w:p w14:paraId="2DEF288A" w14:textId="77777777" w:rsidR="00866159" w:rsidRDefault="00CF7FCA">
    <w:r>
      <w:rPr>
        <w:rFonts w:ascii="Times New Roman" w:eastAsia="Times New Roman" w:hAnsi="Times New Roman"/>
      </w:rPr>
      <w:t>Решение: N062943</w:t>
    </w:r>
    <w:r>
      <w:rPr>
        <w:rFonts w:ascii="Times New Roman" w:eastAsia="Times New Roman" w:hAnsi="Times New Roman"/>
      </w:rPr>
      <w:br/>
      <w:t>Дата решения: 03.05.2023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</w:t>
    </w:r>
    <w:r>
      <w:rPr>
        <w:rFonts w:ascii="Times New Roman" w:eastAsia="Times New Roman" w:hAnsi="Times New Roman"/>
      </w:rPr>
      <w:t>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634C" w14:textId="77777777" w:rsidR="009D472B" w:rsidRDefault="00CF7FCA"/>
  <w:p w14:paraId="210C416A" w14:textId="6A15ADC8" w:rsidR="00866159" w:rsidRDefault="008661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3141" w14:textId="77777777" w:rsidR="009D472B" w:rsidRDefault="00CF7FCA"/>
  <w:p w14:paraId="5DBF4D13" w14:textId="77777777" w:rsidR="00866159" w:rsidRDefault="00CF7FCA">
    <w:r>
      <w:rPr>
        <w:rFonts w:ascii="Times New Roman" w:eastAsia="Times New Roman" w:hAnsi="Times New Roman"/>
      </w:rPr>
      <w:t>Решение: N062943</w:t>
    </w:r>
    <w:r>
      <w:rPr>
        <w:rFonts w:ascii="Times New Roman" w:eastAsia="Times New Roman" w:hAnsi="Times New Roman"/>
      </w:rPr>
      <w:br/>
      <w:t>Дата решения: 03.05.2023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 xml:space="preserve">(Комитет медицинского и фармацевтического контроля Министерства здравоохранения Республики </w:t>
    </w:r>
    <w:r>
      <w:rPr>
        <w:rFonts w:ascii="Times New Roman" w:eastAsia="Times New Roman" w:hAnsi="Times New Roman"/>
      </w:rPr>
      <w:t>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E39A" w14:textId="77777777" w:rsidR="00CF7FCA" w:rsidRDefault="00CF7FCA" w:rsidP="00D275FC">
      <w:pPr>
        <w:spacing w:after="0" w:line="240" w:lineRule="auto"/>
      </w:pPr>
      <w:r>
        <w:separator/>
      </w:r>
    </w:p>
  </w:footnote>
  <w:footnote w:type="continuationSeparator" w:id="0">
    <w:p w14:paraId="106C29AF" w14:textId="77777777" w:rsidR="00CF7FCA" w:rsidRDefault="00CF7FC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C6BB" w14:textId="77777777" w:rsidR="00D275FC" w:rsidRDefault="00C36D9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FF129A" wp14:editId="3F798246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79996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F129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33879996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0CBC"/>
    <w:rsid w:val="00010371"/>
    <w:rsid w:val="000264BB"/>
    <w:rsid w:val="00033FC1"/>
    <w:rsid w:val="00034159"/>
    <w:rsid w:val="00035E74"/>
    <w:rsid w:val="00042999"/>
    <w:rsid w:val="000852A1"/>
    <w:rsid w:val="000972E6"/>
    <w:rsid w:val="000A0D71"/>
    <w:rsid w:val="000A18CA"/>
    <w:rsid w:val="000B6C56"/>
    <w:rsid w:val="000C2C4B"/>
    <w:rsid w:val="000C4C48"/>
    <w:rsid w:val="000D73C4"/>
    <w:rsid w:val="000E01AB"/>
    <w:rsid w:val="000E2683"/>
    <w:rsid w:val="000E49F0"/>
    <w:rsid w:val="000E6126"/>
    <w:rsid w:val="00100406"/>
    <w:rsid w:val="00107A8A"/>
    <w:rsid w:val="00111788"/>
    <w:rsid w:val="00132B9A"/>
    <w:rsid w:val="00136314"/>
    <w:rsid w:val="001368AE"/>
    <w:rsid w:val="00144CCD"/>
    <w:rsid w:val="0014739A"/>
    <w:rsid w:val="0015490C"/>
    <w:rsid w:val="001573E2"/>
    <w:rsid w:val="0016278D"/>
    <w:rsid w:val="001915C0"/>
    <w:rsid w:val="001937AD"/>
    <w:rsid w:val="00195E8B"/>
    <w:rsid w:val="001A1D07"/>
    <w:rsid w:val="001A2CB2"/>
    <w:rsid w:val="001A5CCF"/>
    <w:rsid w:val="001B6AEC"/>
    <w:rsid w:val="001D52B6"/>
    <w:rsid w:val="001E6F4C"/>
    <w:rsid w:val="001F16AA"/>
    <w:rsid w:val="00203355"/>
    <w:rsid w:val="00211005"/>
    <w:rsid w:val="00217D41"/>
    <w:rsid w:val="00222CA6"/>
    <w:rsid w:val="0022430E"/>
    <w:rsid w:val="00232642"/>
    <w:rsid w:val="00237697"/>
    <w:rsid w:val="00242BA5"/>
    <w:rsid w:val="002447D6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18F"/>
    <w:rsid w:val="002C5345"/>
    <w:rsid w:val="002C76D7"/>
    <w:rsid w:val="002D56B7"/>
    <w:rsid w:val="002E0BAD"/>
    <w:rsid w:val="002F4A14"/>
    <w:rsid w:val="00302607"/>
    <w:rsid w:val="003043BF"/>
    <w:rsid w:val="00320073"/>
    <w:rsid w:val="003262DF"/>
    <w:rsid w:val="003277C4"/>
    <w:rsid w:val="00333BDE"/>
    <w:rsid w:val="003356B2"/>
    <w:rsid w:val="0036288F"/>
    <w:rsid w:val="00365B10"/>
    <w:rsid w:val="003662F1"/>
    <w:rsid w:val="00367BA7"/>
    <w:rsid w:val="003701FD"/>
    <w:rsid w:val="003761C0"/>
    <w:rsid w:val="00377544"/>
    <w:rsid w:val="003812B2"/>
    <w:rsid w:val="00383CDB"/>
    <w:rsid w:val="00384F08"/>
    <w:rsid w:val="003879F9"/>
    <w:rsid w:val="00391EA3"/>
    <w:rsid w:val="003A035E"/>
    <w:rsid w:val="003B0285"/>
    <w:rsid w:val="003C28D6"/>
    <w:rsid w:val="003C4055"/>
    <w:rsid w:val="003E13CF"/>
    <w:rsid w:val="003E608C"/>
    <w:rsid w:val="003F5344"/>
    <w:rsid w:val="003F7EDC"/>
    <w:rsid w:val="00404548"/>
    <w:rsid w:val="0041162E"/>
    <w:rsid w:val="0042786D"/>
    <w:rsid w:val="00433C62"/>
    <w:rsid w:val="00434D01"/>
    <w:rsid w:val="004404BD"/>
    <w:rsid w:val="00464348"/>
    <w:rsid w:val="00472EF5"/>
    <w:rsid w:val="0048687C"/>
    <w:rsid w:val="004966C7"/>
    <w:rsid w:val="004A31B4"/>
    <w:rsid w:val="004C1922"/>
    <w:rsid w:val="004C462F"/>
    <w:rsid w:val="004D49E9"/>
    <w:rsid w:val="004F2AF1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2589"/>
    <w:rsid w:val="005C4A16"/>
    <w:rsid w:val="005C4B12"/>
    <w:rsid w:val="005D68C6"/>
    <w:rsid w:val="005D7EE3"/>
    <w:rsid w:val="005E38B4"/>
    <w:rsid w:val="005E50DE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733D5"/>
    <w:rsid w:val="00691208"/>
    <w:rsid w:val="00693014"/>
    <w:rsid w:val="006A23C4"/>
    <w:rsid w:val="006A702E"/>
    <w:rsid w:val="006B7A90"/>
    <w:rsid w:val="006C577B"/>
    <w:rsid w:val="006C5F38"/>
    <w:rsid w:val="006C6558"/>
    <w:rsid w:val="006D7D5A"/>
    <w:rsid w:val="006E4305"/>
    <w:rsid w:val="006F5763"/>
    <w:rsid w:val="00704BAB"/>
    <w:rsid w:val="007104D1"/>
    <w:rsid w:val="00711607"/>
    <w:rsid w:val="00712664"/>
    <w:rsid w:val="007135A6"/>
    <w:rsid w:val="00732F32"/>
    <w:rsid w:val="00733A73"/>
    <w:rsid w:val="00736B6C"/>
    <w:rsid w:val="00742014"/>
    <w:rsid w:val="007454E7"/>
    <w:rsid w:val="00745CFF"/>
    <w:rsid w:val="00746FF2"/>
    <w:rsid w:val="00761133"/>
    <w:rsid w:val="00764E84"/>
    <w:rsid w:val="007762F8"/>
    <w:rsid w:val="00783520"/>
    <w:rsid w:val="007A02D3"/>
    <w:rsid w:val="007A18B1"/>
    <w:rsid w:val="007B29C6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159"/>
    <w:rsid w:val="0086657B"/>
    <w:rsid w:val="008832E5"/>
    <w:rsid w:val="00891711"/>
    <w:rsid w:val="0089605A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1CB7"/>
    <w:rsid w:val="00947D3D"/>
    <w:rsid w:val="0095047E"/>
    <w:rsid w:val="00956101"/>
    <w:rsid w:val="00962CD6"/>
    <w:rsid w:val="00993A60"/>
    <w:rsid w:val="00996F90"/>
    <w:rsid w:val="009A1F67"/>
    <w:rsid w:val="009B014E"/>
    <w:rsid w:val="009D71D5"/>
    <w:rsid w:val="009E2887"/>
    <w:rsid w:val="009E5CB9"/>
    <w:rsid w:val="009F31F2"/>
    <w:rsid w:val="009F45A5"/>
    <w:rsid w:val="009F6717"/>
    <w:rsid w:val="00A01C2E"/>
    <w:rsid w:val="00A02BB2"/>
    <w:rsid w:val="00A04052"/>
    <w:rsid w:val="00A12563"/>
    <w:rsid w:val="00A2581E"/>
    <w:rsid w:val="00A8185B"/>
    <w:rsid w:val="00A943DF"/>
    <w:rsid w:val="00A964BF"/>
    <w:rsid w:val="00AA5E2F"/>
    <w:rsid w:val="00AA7317"/>
    <w:rsid w:val="00AC2C0B"/>
    <w:rsid w:val="00AC4905"/>
    <w:rsid w:val="00AE22F8"/>
    <w:rsid w:val="00AE7922"/>
    <w:rsid w:val="00B01011"/>
    <w:rsid w:val="00B11878"/>
    <w:rsid w:val="00B46F30"/>
    <w:rsid w:val="00B608C1"/>
    <w:rsid w:val="00B60D3D"/>
    <w:rsid w:val="00B61D95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36D95"/>
    <w:rsid w:val="00C379C9"/>
    <w:rsid w:val="00C422B8"/>
    <w:rsid w:val="00C53310"/>
    <w:rsid w:val="00C566D6"/>
    <w:rsid w:val="00C651D1"/>
    <w:rsid w:val="00C839ED"/>
    <w:rsid w:val="00C84299"/>
    <w:rsid w:val="00C916ED"/>
    <w:rsid w:val="00C92F14"/>
    <w:rsid w:val="00C9308C"/>
    <w:rsid w:val="00C94923"/>
    <w:rsid w:val="00C97365"/>
    <w:rsid w:val="00CC08BA"/>
    <w:rsid w:val="00CC330A"/>
    <w:rsid w:val="00CC40D7"/>
    <w:rsid w:val="00CC5727"/>
    <w:rsid w:val="00CC7DBD"/>
    <w:rsid w:val="00CE38C0"/>
    <w:rsid w:val="00CF3849"/>
    <w:rsid w:val="00CF7FCA"/>
    <w:rsid w:val="00D0233C"/>
    <w:rsid w:val="00D066FC"/>
    <w:rsid w:val="00D11462"/>
    <w:rsid w:val="00D14D61"/>
    <w:rsid w:val="00D22A47"/>
    <w:rsid w:val="00D25A8E"/>
    <w:rsid w:val="00D275FC"/>
    <w:rsid w:val="00D3576E"/>
    <w:rsid w:val="00D43297"/>
    <w:rsid w:val="00D46B0B"/>
    <w:rsid w:val="00D55ED8"/>
    <w:rsid w:val="00D70DB6"/>
    <w:rsid w:val="00D76048"/>
    <w:rsid w:val="00D93C80"/>
    <w:rsid w:val="00D96A8F"/>
    <w:rsid w:val="00DB406A"/>
    <w:rsid w:val="00DC192B"/>
    <w:rsid w:val="00DF11A7"/>
    <w:rsid w:val="00E03E8D"/>
    <w:rsid w:val="00E17847"/>
    <w:rsid w:val="00E22516"/>
    <w:rsid w:val="00E228F5"/>
    <w:rsid w:val="00E271CB"/>
    <w:rsid w:val="00E34FE3"/>
    <w:rsid w:val="00E55D6C"/>
    <w:rsid w:val="00E57396"/>
    <w:rsid w:val="00E81A1B"/>
    <w:rsid w:val="00E81A86"/>
    <w:rsid w:val="00E82428"/>
    <w:rsid w:val="00E8607B"/>
    <w:rsid w:val="00E91073"/>
    <w:rsid w:val="00E93583"/>
    <w:rsid w:val="00EA2F86"/>
    <w:rsid w:val="00EA6D39"/>
    <w:rsid w:val="00EB1D97"/>
    <w:rsid w:val="00EF4C53"/>
    <w:rsid w:val="00EF5036"/>
    <w:rsid w:val="00F006F1"/>
    <w:rsid w:val="00F07B7B"/>
    <w:rsid w:val="00F23B95"/>
    <w:rsid w:val="00F40388"/>
    <w:rsid w:val="00F63389"/>
    <w:rsid w:val="00F8747E"/>
    <w:rsid w:val="00F91977"/>
    <w:rsid w:val="00F91B1A"/>
    <w:rsid w:val="00F97B57"/>
    <w:rsid w:val="00FA4F7C"/>
    <w:rsid w:val="00FB0456"/>
    <w:rsid w:val="00FB47F4"/>
    <w:rsid w:val="00FD2B12"/>
    <w:rsid w:val="00FD2B9F"/>
    <w:rsid w:val="00FD50BC"/>
    <w:rsid w:val="00FE49B9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20D10"/>
  <w15:docId w15:val="{7A03B5CE-CDDE-4E4D-97B3-967964CE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27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ptimus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timuspharma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2EBE-257F-4B33-A80E-5366A65E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2572</Words>
  <Characters>14666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17204</CharactersWithSpaces>
  <SharedDoc>false</SharedDoc>
  <HLinks>
    <vt:vector size="18" baseType="variant"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2018-03-22T06:08:00Z</cp:lastPrinted>
  <dcterms:created xsi:type="dcterms:W3CDTF">2023-04-13T08:18:00Z</dcterms:created>
  <dcterms:modified xsi:type="dcterms:W3CDTF">2023-05-11T03:54:00Z</dcterms:modified>
</cp:coreProperties>
</file>